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CBB7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53A4E8EC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A74071" w:rsidRPr="00AA7D03">
        <w:rPr>
          <w:rFonts w:ascii="標楷體" w:eastAsia="標楷體" w:hAnsi="標楷體" w:hint="eastAsia"/>
          <w:sz w:val="32"/>
          <w:szCs w:val="32"/>
        </w:rPr>
        <w:t>長賜輪擱淺之海難救助、共同海損及保險探討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78887D79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27427FB2" w14:textId="77777777" w:rsidR="00FA18B0" w:rsidRDefault="008F366B" w:rsidP="00A74071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A74071">
        <w:rPr>
          <w:rFonts w:ascii="標楷體" w:eastAsia="標楷體" w:hint="eastAsia"/>
          <w:sz w:val="32"/>
          <w:szCs w:val="32"/>
        </w:rPr>
        <w:t>曾文瑞</w:t>
      </w:r>
      <w:r w:rsidR="00A74071" w:rsidRPr="00B7223D">
        <w:rPr>
          <w:rFonts w:ascii="標楷體" w:eastAsia="標楷體" w:hAnsi="標楷體"/>
          <w:sz w:val="32"/>
          <w:szCs w:val="32"/>
        </w:rPr>
        <w:t>先生</w:t>
      </w:r>
      <w:r w:rsidR="00A74071" w:rsidRPr="00B7223D">
        <w:rPr>
          <w:rFonts w:ascii="標楷體" w:eastAsia="標楷體" w:hAnsi="標楷體" w:hint="eastAsia"/>
          <w:sz w:val="32"/>
          <w:szCs w:val="32"/>
        </w:rPr>
        <w:t>（</w:t>
      </w:r>
      <w:r w:rsidR="00A74071">
        <w:rPr>
          <w:rFonts w:ascii="標楷體" w:eastAsia="標楷體" w:hAnsi="標楷體" w:hint="eastAsia"/>
          <w:sz w:val="32"/>
          <w:szCs w:val="32"/>
        </w:rPr>
        <w:t>國立高雄科技大學航運管理系教授</w:t>
      </w:r>
      <w:r w:rsidR="00A74071" w:rsidRPr="00B7223D">
        <w:rPr>
          <w:rFonts w:ascii="標楷體" w:eastAsia="標楷體" w:hAnsi="標楷體" w:hint="eastAsia"/>
          <w:sz w:val="32"/>
          <w:szCs w:val="32"/>
        </w:rPr>
        <w:t>）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3D29A981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02588B8A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19EDE029" w14:textId="77777777" w:rsidR="00685B7B" w:rsidRDefault="00685B7B" w:rsidP="00370BAD">
      <w:pPr>
        <w:ind w:left="4860" w:hanging="4860"/>
        <w:rPr>
          <w:rFonts w:ascii="標楷體" w:eastAsia="標楷體"/>
          <w:sz w:val="32"/>
        </w:rPr>
      </w:pPr>
    </w:p>
    <w:p w14:paraId="55BD531F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</w:t>
      </w:r>
      <w:r w:rsidR="00D051AE">
        <w:rPr>
          <w:rFonts w:ascii="標楷體" w:eastAsia="標楷體" w:hint="eastAsia"/>
          <w:sz w:val="32"/>
        </w:rPr>
        <w:t>1</w:t>
      </w:r>
      <w:r w:rsidR="001A3215">
        <w:rPr>
          <w:rFonts w:ascii="標楷體" w:eastAsia="標楷體" w:hint="eastAsia"/>
          <w:sz w:val="32"/>
        </w:rPr>
        <w:t>0</w:t>
      </w:r>
      <w:r>
        <w:rPr>
          <w:rFonts w:ascii="標楷體" w:eastAsia="標楷體" w:hint="eastAsia"/>
          <w:sz w:val="32"/>
        </w:rPr>
        <w:t>年</w:t>
      </w:r>
      <w:r w:rsidR="00D051AE">
        <w:rPr>
          <w:rFonts w:ascii="標楷體" w:eastAsia="標楷體" w:hint="eastAsia"/>
          <w:sz w:val="32"/>
        </w:rPr>
        <w:t>5</w:t>
      </w:r>
      <w:r>
        <w:rPr>
          <w:rFonts w:ascii="標楷體" w:eastAsia="標楷體" w:hint="eastAsia"/>
          <w:sz w:val="32"/>
        </w:rPr>
        <w:t>月</w:t>
      </w:r>
      <w:r w:rsidR="00A74071">
        <w:rPr>
          <w:rFonts w:ascii="標楷體" w:eastAsia="標楷體" w:hint="eastAsia"/>
          <w:sz w:val="32"/>
        </w:rPr>
        <w:t>2</w:t>
      </w:r>
      <w:r w:rsidR="00D051AE">
        <w:rPr>
          <w:rFonts w:ascii="標楷體" w:eastAsia="標楷體" w:hint="eastAsia"/>
          <w:sz w:val="32"/>
        </w:rPr>
        <w:t>1</w:t>
      </w:r>
      <w:r w:rsidR="00E2665D">
        <w:rPr>
          <w:rFonts w:ascii="標楷體" w:eastAsia="標楷體" w:hint="eastAsia"/>
          <w:sz w:val="32"/>
        </w:rPr>
        <w:t>日（星期</w:t>
      </w:r>
      <w:r w:rsidR="00A74071">
        <w:rPr>
          <w:rFonts w:ascii="標楷體" w:eastAsia="標楷體" w:hint="eastAsia"/>
          <w:sz w:val="32"/>
        </w:rPr>
        <w:t>五</w:t>
      </w:r>
      <w:r>
        <w:rPr>
          <w:rFonts w:ascii="標楷體" w:eastAsia="標楷體" w:hint="eastAsia"/>
          <w:sz w:val="32"/>
        </w:rPr>
        <w:t>）</w:t>
      </w:r>
    </w:p>
    <w:p w14:paraId="5B2AAF04" w14:textId="77777777" w:rsidR="002E3859" w:rsidRDefault="00A74071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上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10</w:t>
      </w:r>
      <w:r w:rsidR="008F366B">
        <w:rPr>
          <w:rFonts w:ascii="標楷體" w:eastAsia="標楷體" w:hint="eastAsia"/>
          <w:sz w:val="32"/>
        </w:rPr>
        <w:t>時至</w:t>
      </w:r>
      <w:r>
        <w:rPr>
          <w:rFonts w:ascii="標楷體" w:eastAsia="標楷體" w:hint="eastAsia"/>
          <w:sz w:val="32"/>
        </w:rPr>
        <w:t>12</w:t>
      </w:r>
      <w:r w:rsidR="00804A3A">
        <w:rPr>
          <w:rFonts w:ascii="標楷體" w:eastAsia="標楷體" w:hint="eastAsia"/>
          <w:sz w:val="32"/>
        </w:rPr>
        <w:t>時</w:t>
      </w:r>
    </w:p>
    <w:p w14:paraId="0F8915BB" w14:textId="77777777" w:rsidR="00A74071" w:rsidRDefault="008F366B" w:rsidP="00A87245">
      <w:pPr>
        <w:spacing w:line="300" w:lineRule="auto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A74071" w:rsidRPr="00A74071">
        <w:rPr>
          <w:rFonts w:ascii="標楷體" w:eastAsia="標楷體" w:hint="eastAsia"/>
          <w:sz w:val="32"/>
          <w:szCs w:val="32"/>
        </w:rPr>
        <w:t xml:space="preserve">高雄市新興區民族2路95號13樓  </w:t>
      </w:r>
    </w:p>
    <w:p w14:paraId="19136248" w14:textId="77777777" w:rsidR="002E3859" w:rsidRDefault="00A74071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  <w:szCs w:val="32"/>
        </w:rPr>
        <w:t xml:space="preserve">          </w:t>
      </w:r>
      <w:r w:rsidRPr="00A74071">
        <w:rPr>
          <w:rFonts w:ascii="標楷體" w:eastAsia="標楷體" w:hint="eastAsia"/>
          <w:sz w:val="32"/>
          <w:szCs w:val="32"/>
        </w:rPr>
        <w:t>富邦產險高雄分公司</w:t>
      </w:r>
    </w:p>
    <w:p w14:paraId="17AE123D" w14:textId="77777777" w:rsidR="00D051AE" w:rsidRDefault="008F366B" w:rsidP="002C2401">
      <w:pPr>
        <w:spacing w:line="0" w:lineRule="atLeast"/>
        <w:ind w:left="4800" w:hangingChars="1500" w:hanging="4800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</w:t>
      </w:r>
    </w:p>
    <w:p w14:paraId="0BFE7CD7" w14:textId="77777777" w:rsidR="00D051AE" w:rsidRDefault="00D051AE" w:rsidP="00D051AE">
      <w:pPr>
        <w:spacing w:line="0" w:lineRule="atLeast"/>
        <w:ind w:left="707" w:hangingChars="221" w:hanging="707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一、本次演講會係由本會</w:t>
      </w:r>
      <w:r w:rsidR="00822973">
        <w:rPr>
          <w:rFonts w:ascii="標楷體" w:eastAsia="標楷體" w:hint="eastAsia"/>
          <w:sz w:val="32"/>
        </w:rPr>
        <w:t>與</w:t>
      </w:r>
      <w:r w:rsidR="00A74071">
        <w:rPr>
          <w:rFonts w:ascii="標楷體" w:eastAsia="標楷體" w:hint="eastAsia"/>
          <w:sz w:val="32"/>
        </w:rPr>
        <w:t>國立高雄科技大學航運管理系</w:t>
      </w:r>
      <w:r w:rsidR="00822973">
        <w:rPr>
          <w:rFonts w:ascii="標楷體" w:eastAsia="標楷體" w:hint="eastAsia"/>
          <w:sz w:val="32"/>
        </w:rPr>
        <w:t>及</w:t>
      </w:r>
      <w:r w:rsidR="00A74071">
        <w:rPr>
          <w:rFonts w:ascii="標楷體" w:eastAsia="標楷體" w:hint="eastAsia"/>
          <w:sz w:val="32"/>
        </w:rPr>
        <w:t>風險管理與保險學系</w:t>
      </w:r>
      <w:r>
        <w:rPr>
          <w:rFonts w:ascii="標楷體" w:eastAsia="標楷體" w:hint="eastAsia"/>
          <w:sz w:val="32"/>
        </w:rPr>
        <w:t>共同舉辦。</w:t>
      </w:r>
    </w:p>
    <w:p w14:paraId="3D07ECF1" w14:textId="77777777" w:rsidR="00C91933" w:rsidRDefault="00D051AE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</w:t>
      </w:r>
      <w:r w:rsidR="008F366B">
        <w:rPr>
          <w:rFonts w:ascii="標楷體" w:eastAsia="標楷體" w:hint="eastAsia"/>
          <w:sz w:val="32"/>
        </w:rPr>
        <w:t>有意參加者，請於</w:t>
      </w:r>
      <w:r>
        <w:rPr>
          <w:rFonts w:ascii="標楷體" w:eastAsia="標楷體" w:hint="eastAsia"/>
          <w:sz w:val="32"/>
        </w:rPr>
        <w:t>5</w:t>
      </w:r>
      <w:r w:rsidR="008F366B">
        <w:rPr>
          <w:rFonts w:ascii="標楷體" w:eastAsia="標楷體" w:hint="eastAsia"/>
          <w:sz w:val="32"/>
        </w:rPr>
        <w:t>月</w:t>
      </w:r>
      <w:r w:rsidR="00232D7C">
        <w:rPr>
          <w:rFonts w:ascii="標楷體" w:eastAsia="標楷體" w:hint="eastAsia"/>
          <w:sz w:val="32"/>
        </w:rPr>
        <w:t>1</w:t>
      </w:r>
      <w:r w:rsidR="00A74071">
        <w:rPr>
          <w:rFonts w:ascii="標楷體" w:eastAsia="標楷體" w:hint="eastAsia"/>
          <w:sz w:val="32"/>
        </w:rPr>
        <w:t>4</w:t>
      </w:r>
      <w:r w:rsidR="008F366B">
        <w:rPr>
          <w:rFonts w:ascii="標楷體" w:eastAsia="標楷體" w:hint="eastAsia"/>
          <w:sz w:val="32"/>
        </w:rPr>
        <w:t>日前向本會報名，俾便</w:t>
      </w:r>
    </w:p>
    <w:p w14:paraId="7419B32A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18FB3564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783BFCCA" w14:textId="77777777" w:rsidR="008F366B" w:rsidRDefault="00373E9D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305DCBD1" w14:textId="77777777" w:rsidR="00685B7B" w:rsidRDefault="00685B7B" w:rsidP="009741D4">
      <w:pPr>
        <w:spacing w:line="300" w:lineRule="auto"/>
        <w:ind w:left="1620" w:hanging="1620"/>
        <w:rPr>
          <w:rFonts w:ascii="標楷體" w:eastAsia="標楷體"/>
          <w:sz w:val="32"/>
          <w:szCs w:val="32"/>
        </w:rPr>
      </w:pPr>
    </w:p>
    <w:p w14:paraId="1960E346" w14:textId="77777777" w:rsidR="00685B7B" w:rsidRPr="0040647C" w:rsidRDefault="00685B7B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</w:p>
    <w:p w14:paraId="34FBBFCF" w14:textId="46BD2734" w:rsidR="0029017B" w:rsidRPr="003C69FB" w:rsidRDefault="00524FCC" w:rsidP="00DD3C9D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57123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C505CF" wp14:editId="7E20ADEC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3335" r="13970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2C19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A74071" w:rsidRPr="00AA7D03">
        <w:rPr>
          <w:rFonts w:ascii="標楷體" w:eastAsia="標楷體" w:hAnsi="標楷體" w:hint="eastAsia"/>
          <w:sz w:val="32"/>
          <w:szCs w:val="32"/>
        </w:rPr>
        <w:t>長賜輪擱淺之海難救助、共同海損及保險探討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38FA37B3" w14:textId="77777777" w:rsidR="0029017B" w:rsidRDefault="0029017B" w:rsidP="00DD3C9D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72379D26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5A94B3D0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15C319E4" w14:textId="0AC7859E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  <w:r w:rsidR="00524FCC">
        <w:rPr>
          <w:rFonts w:ascii="標楷體" w:eastAsia="標楷體" w:hAnsi="標楷體" w:hint="eastAsia"/>
          <w:sz w:val="28"/>
          <w:szCs w:val="28"/>
          <w:u w:val="thick"/>
        </w:rPr>
        <w:t xml:space="preserve">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BB12" w14:textId="77777777" w:rsidR="00BD6D00" w:rsidRDefault="00BD6D00" w:rsidP="00C27BE9">
      <w:pPr>
        <w:spacing w:line="240" w:lineRule="auto"/>
      </w:pPr>
      <w:r>
        <w:separator/>
      </w:r>
    </w:p>
  </w:endnote>
  <w:endnote w:type="continuationSeparator" w:id="0">
    <w:p w14:paraId="3CDA173F" w14:textId="77777777" w:rsidR="00BD6D00" w:rsidRDefault="00BD6D00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8544" w14:textId="77777777" w:rsidR="00BD6D00" w:rsidRDefault="00BD6D00" w:rsidP="00C27BE9">
      <w:pPr>
        <w:spacing w:line="240" w:lineRule="auto"/>
      </w:pPr>
      <w:r>
        <w:separator/>
      </w:r>
    </w:p>
  </w:footnote>
  <w:footnote w:type="continuationSeparator" w:id="0">
    <w:p w14:paraId="42CC2207" w14:textId="77777777" w:rsidR="00BD6D00" w:rsidRDefault="00BD6D00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25793"/>
    <w:rsid w:val="000513FD"/>
    <w:rsid w:val="00073931"/>
    <w:rsid w:val="00075E59"/>
    <w:rsid w:val="00081E4E"/>
    <w:rsid w:val="0009086C"/>
    <w:rsid w:val="00091CAD"/>
    <w:rsid w:val="000A11CC"/>
    <w:rsid w:val="000A311B"/>
    <w:rsid w:val="000B3FB8"/>
    <w:rsid w:val="00102044"/>
    <w:rsid w:val="001220D2"/>
    <w:rsid w:val="001267D7"/>
    <w:rsid w:val="00133253"/>
    <w:rsid w:val="001423AB"/>
    <w:rsid w:val="0014598D"/>
    <w:rsid w:val="00155C5C"/>
    <w:rsid w:val="00156FD8"/>
    <w:rsid w:val="00167453"/>
    <w:rsid w:val="0017470F"/>
    <w:rsid w:val="00185EAB"/>
    <w:rsid w:val="00190107"/>
    <w:rsid w:val="00191C89"/>
    <w:rsid w:val="001A3215"/>
    <w:rsid w:val="001B4AF2"/>
    <w:rsid w:val="001F1476"/>
    <w:rsid w:val="001F2DD4"/>
    <w:rsid w:val="001F48B9"/>
    <w:rsid w:val="00204A36"/>
    <w:rsid w:val="00205604"/>
    <w:rsid w:val="00216E5A"/>
    <w:rsid w:val="00232D7C"/>
    <w:rsid w:val="00234C97"/>
    <w:rsid w:val="00235CF2"/>
    <w:rsid w:val="002531F4"/>
    <w:rsid w:val="00261357"/>
    <w:rsid w:val="00262CE4"/>
    <w:rsid w:val="00273CC2"/>
    <w:rsid w:val="00280EEB"/>
    <w:rsid w:val="00286ADF"/>
    <w:rsid w:val="0029017B"/>
    <w:rsid w:val="0029231A"/>
    <w:rsid w:val="002A4263"/>
    <w:rsid w:val="002A4947"/>
    <w:rsid w:val="002B7CA1"/>
    <w:rsid w:val="002C2401"/>
    <w:rsid w:val="002C7B9F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C9C"/>
    <w:rsid w:val="004C442E"/>
    <w:rsid w:val="004D510F"/>
    <w:rsid w:val="004E5DDA"/>
    <w:rsid w:val="00502C7C"/>
    <w:rsid w:val="00510957"/>
    <w:rsid w:val="005159D3"/>
    <w:rsid w:val="00520031"/>
    <w:rsid w:val="00524279"/>
    <w:rsid w:val="00524FCC"/>
    <w:rsid w:val="00536FA0"/>
    <w:rsid w:val="0054082F"/>
    <w:rsid w:val="00557CA6"/>
    <w:rsid w:val="0056313E"/>
    <w:rsid w:val="00571232"/>
    <w:rsid w:val="00583286"/>
    <w:rsid w:val="0058674C"/>
    <w:rsid w:val="005869E4"/>
    <w:rsid w:val="005A0F25"/>
    <w:rsid w:val="005A3D12"/>
    <w:rsid w:val="005C5271"/>
    <w:rsid w:val="005C68BF"/>
    <w:rsid w:val="005D2743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85B7B"/>
    <w:rsid w:val="006C44BA"/>
    <w:rsid w:val="006E6EA8"/>
    <w:rsid w:val="007407F4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22973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F185E"/>
    <w:rsid w:val="008F2E39"/>
    <w:rsid w:val="008F366B"/>
    <w:rsid w:val="00900611"/>
    <w:rsid w:val="009109D7"/>
    <w:rsid w:val="00916292"/>
    <w:rsid w:val="00926086"/>
    <w:rsid w:val="00927A13"/>
    <w:rsid w:val="009354B2"/>
    <w:rsid w:val="00943CF6"/>
    <w:rsid w:val="00952F0F"/>
    <w:rsid w:val="00973B6F"/>
    <w:rsid w:val="009741D4"/>
    <w:rsid w:val="00982CAB"/>
    <w:rsid w:val="00983CC3"/>
    <w:rsid w:val="009D0585"/>
    <w:rsid w:val="009D1993"/>
    <w:rsid w:val="009F39D3"/>
    <w:rsid w:val="00A27BA0"/>
    <w:rsid w:val="00A37184"/>
    <w:rsid w:val="00A74071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D3D42"/>
    <w:rsid w:val="00BD6D00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E4521"/>
    <w:rsid w:val="00CF3AE7"/>
    <w:rsid w:val="00CF674C"/>
    <w:rsid w:val="00D051AE"/>
    <w:rsid w:val="00D153C1"/>
    <w:rsid w:val="00D23842"/>
    <w:rsid w:val="00D4361D"/>
    <w:rsid w:val="00D50F27"/>
    <w:rsid w:val="00D51895"/>
    <w:rsid w:val="00D90ACB"/>
    <w:rsid w:val="00DB5900"/>
    <w:rsid w:val="00DB6AF6"/>
    <w:rsid w:val="00DC7B91"/>
    <w:rsid w:val="00DD3C9D"/>
    <w:rsid w:val="00DD4080"/>
    <w:rsid w:val="00DD4290"/>
    <w:rsid w:val="00DE0AA8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D58E2"/>
  <w15:chartTrackingRefBased/>
  <w15:docId w15:val="{2EFA63F8-DFBF-47A3-BF8A-2680480D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2</cp:revision>
  <cp:lastPrinted>2019-04-30T06:47:00Z</cp:lastPrinted>
  <dcterms:created xsi:type="dcterms:W3CDTF">2021-05-05T03:39:00Z</dcterms:created>
  <dcterms:modified xsi:type="dcterms:W3CDTF">2021-05-05T03:39:00Z</dcterms:modified>
</cp:coreProperties>
</file>